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Паспорт федерального партийного проекта</w:t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«Новая школа» </w:t>
      </w:r>
    </w:p>
    <w:p w:rsidR="00000000" w:rsidDel="00000000" w:rsidP="00000000" w:rsidRDefault="00000000" w:rsidRPr="00000000" w14:paraId="00000003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859"/>
        <w:gridCol w:w="7036"/>
        <w:tblGridChange w:id="0">
          <w:tblGrid>
            <w:gridCol w:w="2859"/>
            <w:gridCol w:w="703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Новая школа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Координатор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АРШИНОВА Алёна Игоревна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член Президиума Генерального совета Партии, первый заместитель председателя комитета Государственной Думы Федерального Собрания Российской Федерации по просвещению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Региональный координатор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Антонова Лидия Николаевна, </w:t>
            </w:r>
            <w:r w:rsidDel="00000000" w:rsidR="00000000" w:rsidRPr="00000000">
              <w:rPr>
                <w:rtl w:val="0"/>
              </w:rPr>
              <w:t xml:space="preserve">член комитет по образованию, культуре, науке, туризму, спорту и молодежной политике,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Председатель общественного совета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Юсупова Надия Геннадьевна,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Ректор Орехово-Зуевского Государственного гуманитарно-технологического университета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Куратор проекта от 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Смирнова Анастасия Алексеевна</w:t>
            </w:r>
            <w:r w:rsidDel="00000000" w:rsidR="00000000" w:rsidRPr="00000000">
              <w:rPr>
                <w:rtl w:val="0"/>
              </w:rPr>
              <w:t xml:space="preserve">, главный специалист отдела агитационно-пропагандистской работы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Обоснование актуальности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Повышение качества российского образования, его доступности, создание равных возможностей для обучения детей вне зависимости от территории их проживания – приоритетное направление Народной программы Партии «</w:t>
            </w:r>
            <w:r w:rsidDel="00000000" w:rsidR="00000000" w:rsidRPr="00000000">
              <w:rPr>
                <w:b w:val="1"/>
                <w:rtl w:val="0"/>
              </w:rPr>
              <w:t xml:space="preserve">ЕДИНАЯ РОССИЯ</w:t>
            </w:r>
            <w:r w:rsidDel="00000000" w:rsidR="00000000" w:rsidRPr="00000000">
              <w:rPr>
                <w:rtl w:val="0"/>
              </w:rPr>
              <w:t xml:space="preserve">». </w:t>
            </w:r>
          </w:p>
          <w:p w:rsidR="00000000" w:rsidDel="00000000" w:rsidP="00000000" w:rsidRDefault="00000000" w:rsidRPr="00000000" w14:paraId="00000012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Совершенствование системы образования способствует повышению уровня социально-экономического развития страны, ее конкурентоспособности. Важно развивать инфраструктуру образования – строить новые детские сады, школы, бассейны вузов, проводить капитальный ремонт имеющихся образовательных организаций, оснащать их современным оборудованием, расширять сферу дополнительного образования детей, создавать доступную образовательную среду.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2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и развитие системы общего, профессионального и дополнительного образования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Задачи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строительства новых детских садов, школ, бассейнов вузов;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реализации программы капитального ремонта и оснащения оборудованием школ;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реализации программы капитального ремонта общежитий вузов;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мониторинг наличия и качества бесплатного горячего питания обучающихся начальных классов, в том числе в малокомплектных школах;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комплексной безопасности в образовательных организациях;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реализации программы «Школьный автобус»;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системы оплаты труда педагогов, мониторинг своевременности выплат зарплат педагогам, в том числе федеральной надбавки за классное руководство в школах и кураторство учебных групп в СПО;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защита прав всех участников образовательного процесса: педагогов, обучающихся, родителей;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22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престижа педагогической профессии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2022-2026 годы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Форматы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numPr>
                <w:ilvl w:val="0"/>
                <w:numId w:val="3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Осуществление партийного и парламентского контроля за правоприменением федеральных законов и нормативно-правовых актов в сфере образования.</w:t>
            </w:r>
          </w:p>
          <w:p w:rsidR="00000000" w:rsidDel="00000000" w:rsidP="00000000" w:rsidRDefault="00000000" w:rsidRPr="00000000" w14:paraId="00000024">
            <w:pPr>
              <w:widowControl w:val="1"/>
              <w:numPr>
                <w:ilvl w:val="0"/>
                <w:numId w:val="3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федеральных и региональных мониторингов, фиксация и устранение выявленных нарушений.</w:t>
            </w:r>
          </w:p>
          <w:p w:rsidR="00000000" w:rsidDel="00000000" w:rsidP="00000000" w:rsidRDefault="00000000" w:rsidRPr="00000000" w14:paraId="00000025">
            <w:pPr>
              <w:widowControl w:val="1"/>
              <w:numPr>
                <w:ilvl w:val="0"/>
                <w:numId w:val="3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общественных обсуждений с привлечением экспертного сообщества для формирования предложений по совершенствованию законодательства и государственной политики в сфере образования.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всероссийских и международных конкурсов, фестивалей («Рисуем Победу», «Земля Калевалы», «Краски Чувашии» и др.).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всероссийских акций («Собери ребенка в школу», «Помощь школам», «Родительская приемка»).</w:t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3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Реализация законотворческих и иных инициатив, направленных на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поддержку и повышение эффективности образовательного процесса.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numPr>
                <w:ilvl w:val="0"/>
                <w:numId w:val="3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Накопление и распространение лучших региональных практик реализации проекта.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Направления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Строительство детских садов;</w:t>
            </w:r>
          </w:p>
          <w:p w:rsidR="00000000" w:rsidDel="00000000" w:rsidP="00000000" w:rsidRDefault="00000000" w:rsidRPr="00000000" w14:paraId="0000002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Строительство школ;</w:t>
            </w:r>
          </w:p>
          <w:p w:rsidR="00000000" w:rsidDel="00000000" w:rsidP="00000000" w:rsidRDefault="00000000" w:rsidRPr="00000000" w14:paraId="0000002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Строительство бассейнов вузов;</w:t>
            </w:r>
          </w:p>
          <w:p w:rsidR="00000000" w:rsidDel="00000000" w:rsidP="00000000" w:rsidRDefault="00000000" w:rsidRPr="00000000" w14:paraId="0000002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Капитальный ремонт школ;</w:t>
            </w:r>
          </w:p>
          <w:p w:rsidR="00000000" w:rsidDel="00000000" w:rsidP="00000000" w:rsidRDefault="00000000" w:rsidRPr="00000000" w14:paraId="0000002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Капитальный ремонт общежитий вузов;</w:t>
            </w:r>
          </w:p>
          <w:p w:rsidR="00000000" w:rsidDel="00000000" w:rsidP="00000000" w:rsidRDefault="00000000" w:rsidRPr="00000000" w14:paraId="0000003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Обеспечение образовательных организаций школьными автобусами;</w:t>
            </w:r>
          </w:p>
          <w:p w:rsidR="00000000" w:rsidDel="00000000" w:rsidP="00000000" w:rsidRDefault="00000000" w:rsidRPr="00000000" w14:paraId="00000031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Обеспечение бесплатным горячим питанием обучающихся начальных классов;</w:t>
            </w:r>
          </w:p>
          <w:p w:rsidR="00000000" w:rsidDel="00000000" w:rsidP="00000000" w:rsidRDefault="00000000" w:rsidRPr="00000000" w14:paraId="0000003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Совершенствование системы оплаты труда педагогов;</w:t>
            </w:r>
          </w:p>
          <w:p w:rsidR="00000000" w:rsidDel="00000000" w:rsidP="00000000" w:rsidRDefault="00000000" w:rsidRPr="00000000" w14:paraId="0000003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«Киноуроки в школах России»: создание 99 воспитательных короткометражек – по количеству месяцев обучения с 1 по 11 классы, проведение киноуроков, выполнение социальных практик;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«Парта Героя»: установка в школах парты с размещенной на них информацией о заслуженном человеке, герое, имеющем непосредственное отношение к школе и вошедшем в историю Отечества и/или являющимся героем нашего времени, его фотографией, биографией, героическим путем;</w:t>
            </w:r>
          </w:p>
          <w:p w:rsidR="00000000" w:rsidDel="00000000" w:rsidP="00000000" w:rsidRDefault="00000000" w:rsidRPr="00000000" w14:paraId="0000003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40"/>
              </w:tabs>
              <w:spacing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</w:t>
              <w:tab/>
              <w:t xml:space="preserve">«Шахматы – школе»: системное повышение интеллектуального уровня российских детей за счет обучения игре в шахматы, развития у них способности действовать «в уме» (внутреннего плана действий), образного и логического мышления.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284" w:top="568" w:left="1276" w:right="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1"/>
      <w:spacing w:after="709" w:line="276" w:lineRule="auto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22" w:hanging="322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30" w:hanging="732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38" w:hanging="744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446" w:hanging="757.0000000000002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54" w:hanging="768.0000000000005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62" w:hanging="78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570" w:hanging="792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278" w:hanging="804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986" w:hanging="816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322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42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62" w:hanging="283.0000000000002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482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02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22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42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62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82" w:hanging="282.9999999999991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4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6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48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0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2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4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6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82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a5">
    <w:name w:val="List Paragraph"/>
    <w:uiPriority w:val="34"/>
    <w:qFormat w:val="1"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 w:val="1"/>
    <w:unhideWhenUsed w:val="1"/>
    <w:rsid w:val="00633285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633285"/>
    <w:rPr>
      <w:rFonts w:ascii="Tahoma" w:cs="Tahoma" w:hAnsi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 w:val="1"/>
    <w:rsid w:val="004A267F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basedOn w:val="a0"/>
    <w:link w:val="a8"/>
    <w:uiPriority w:val="99"/>
    <w:rsid w:val="004A267F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 w:val="1"/>
    <w:rsid w:val="004A267F"/>
    <w:pPr>
      <w:tabs>
        <w:tab w:val="center" w:pos="4677"/>
        <w:tab w:val="right" w:pos="9355"/>
      </w:tabs>
    </w:pPr>
  </w:style>
  <w:style w:type="character" w:styleId="ab" w:customStyle="1">
    <w:name w:val="Нижний колонтитул Знак"/>
    <w:basedOn w:val="a0"/>
    <w:link w:val="aa"/>
    <w:uiPriority w:val="99"/>
    <w:rsid w:val="004A267F"/>
    <w:rPr>
      <w:rFonts w:cs="Arial Unicode MS"/>
      <w:color w:val="000000"/>
      <w:sz w:val="24"/>
      <w:szCs w:val="24"/>
      <w:u w:color="000000"/>
    </w:rPr>
  </w:style>
  <w:style w:type="character" w:styleId="ac">
    <w:name w:val="Emphasis"/>
    <w:basedOn w:val="a0"/>
    <w:uiPriority w:val="20"/>
    <w:qFormat w:val="1"/>
    <w:rsid w:val="00A03473"/>
    <w:rPr>
      <w:i w:val="1"/>
      <w:iCs w:val="1"/>
    </w:rPr>
  </w:style>
  <w:style w:type="paragraph" w:styleId="1" w:customStyle="1">
    <w:name w:val="Обычный1"/>
    <w:rsid w:val="00746065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cs="Arial Unicode MS"/>
      <w:color w:val="000000"/>
      <w:sz w:val="24"/>
      <w:szCs w:val="24"/>
      <w:u w:color="000000"/>
      <w:bdr w:color="auto" w:space="0" w:sz="0"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3y8D/LuIkOFBReqCAyXUFYuqQ==">AMUW2mVlpBIYhTwvT+C9ufb9iXam+Lz9AMKeg5H5ukZR1zwsaZmndIkUbD7DqKJXHZGsOwhjrtJeJ2S74cMltUhAaDOx++6rYBM0LrWCLCXBK0eBPMayVVFKMxckhzzW4lD35yHDChcJ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2018-02-15T07:11:00Z</dcterms:created>
  <dc:creator>Сергеева Евгения Сергеевна</dc:creator>
</cp:coreProperties>
</file>